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BD03F" w14:textId="749C5CBB" w:rsidR="008C65DE"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sz w:val="24"/>
          <w:szCs w:val="24"/>
        </w:rPr>
      </w:pPr>
      <w:r>
        <w:rPr>
          <w:rFonts w:ascii="Roboto" w:eastAsia="Roboto" w:hAnsi="Roboto" w:cs="Roboto"/>
          <w:color w:val="0D0D0D"/>
          <w:sz w:val="24"/>
          <w:szCs w:val="24"/>
        </w:rPr>
        <w:t xml:space="preserve">I </w:t>
      </w:r>
      <w:proofErr w:type="spellStart"/>
      <w:r>
        <w:rPr>
          <w:rFonts w:ascii="Roboto" w:eastAsia="Roboto" w:hAnsi="Roboto" w:cs="Roboto"/>
          <w:color w:val="0D0D0D"/>
          <w:sz w:val="24"/>
          <w:szCs w:val="24"/>
        </w:rPr>
        <w:t>DLO’s</w:t>
      </w:r>
      <w:proofErr w:type="spellEnd"/>
      <w:r>
        <w:rPr>
          <w:rFonts w:ascii="Roboto" w:eastAsia="Roboto" w:hAnsi="Roboto" w:cs="Roboto"/>
          <w:color w:val="0D0D0D"/>
          <w:sz w:val="24"/>
          <w:szCs w:val="24"/>
        </w:rPr>
        <w:t xml:space="preserve"> undersøgelse afdækker vi en væsentlig </w:t>
      </w:r>
      <w:proofErr w:type="spellStart"/>
      <w:r>
        <w:rPr>
          <w:rFonts w:ascii="Roboto" w:eastAsia="Roboto" w:hAnsi="Roboto" w:cs="Roboto"/>
          <w:color w:val="0D0D0D"/>
          <w:sz w:val="24"/>
          <w:szCs w:val="24"/>
        </w:rPr>
        <w:t>driftøkonomisk</w:t>
      </w:r>
      <w:proofErr w:type="spellEnd"/>
      <w:r>
        <w:rPr>
          <w:rFonts w:ascii="Roboto" w:eastAsia="Roboto" w:hAnsi="Roboto" w:cs="Roboto"/>
          <w:color w:val="0D0D0D"/>
          <w:sz w:val="24"/>
          <w:szCs w:val="24"/>
        </w:rPr>
        <w:t xml:space="preserve"> skævhed i, hvordan kommunerne fastsætter driftstilskuddet til private vuggestuer under dagtilbudsloven, jf. § 36. </w:t>
      </w:r>
    </w:p>
    <w:p w14:paraId="3A136274" w14:textId="14B4BBFC" w:rsidR="008C65DE" w:rsidRPr="008C65DE"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b/>
          <w:bCs/>
          <w:color w:val="0D0D0D"/>
          <w:sz w:val="24"/>
          <w:szCs w:val="24"/>
        </w:rPr>
      </w:pPr>
      <w:r w:rsidRPr="008C65DE">
        <w:rPr>
          <w:rFonts w:ascii="Roboto" w:eastAsia="Roboto" w:hAnsi="Roboto" w:cs="Roboto"/>
          <w:b/>
          <w:bCs/>
          <w:color w:val="0D0D0D"/>
          <w:sz w:val="24"/>
          <w:szCs w:val="24"/>
        </w:rPr>
        <w:t>Baggrund</w:t>
      </w:r>
    </w:p>
    <w:p w14:paraId="00000001" w14:textId="1D2F4915" w:rsidR="00364F3F"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sz w:val="24"/>
          <w:szCs w:val="24"/>
        </w:rPr>
      </w:pPr>
      <w:r>
        <w:rPr>
          <w:rFonts w:ascii="Roboto" w:eastAsia="Roboto" w:hAnsi="Roboto" w:cs="Roboto"/>
          <w:color w:val="0D0D0D"/>
          <w:sz w:val="24"/>
          <w:szCs w:val="24"/>
        </w:rPr>
        <w:t>Loven foreskriver, at kommunalbestyrelsen skal yde et driftstilskud pr. barn i private vuggestuer baseret på gennemsnittet af de budgetterede nettodriftsudgifter pr. barn i kommunens egne dagtilbud, hvilket omfatter både vuggestuer og dagplejer. Dagplejen, som typisk er billigere end vuggestuepasning på grund af forskelle i normeringer—1:4 og periodisk 1:5</w:t>
      </w:r>
      <w:r>
        <w:rPr>
          <w:rFonts w:ascii="Roboto" w:eastAsia="Roboto" w:hAnsi="Roboto" w:cs="Roboto"/>
          <w:color w:val="0D0D0D"/>
          <w:sz w:val="24"/>
          <w:szCs w:val="24"/>
        </w:rPr>
        <w:t xml:space="preserve">— samt øvrige forhold omkring lokaler mv., </w:t>
      </w:r>
      <w:r>
        <w:rPr>
          <w:rFonts w:ascii="Roboto" w:eastAsia="Roboto" w:hAnsi="Roboto" w:cs="Roboto"/>
          <w:color w:val="0D0D0D"/>
          <w:sz w:val="24"/>
          <w:szCs w:val="24"/>
        </w:rPr>
        <w:t xml:space="preserve">resulterer i lavere driftsomkostninger pr. barn. Disse normeringsforskelle har direkte indflydelse på </w:t>
      </w:r>
      <w:r>
        <w:rPr>
          <w:rFonts w:ascii="Roboto" w:eastAsia="Roboto" w:hAnsi="Roboto" w:cs="Roboto"/>
          <w:color w:val="0D0D0D"/>
          <w:sz w:val="24"/>
          <w:szCs w:val="24"/>
        </w:rPr>
        <w:t>de samlede driftsomkostninger.</w:t>
      </w:r>
    </w:p>
    <w:p w14:paraId="00000002" w14:textId="21DD33D2" w:rsidR="00364F3F"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sz w:val="24"/>
          <w:szCs w:val="24"/>
        </w:rPr>
      </w:pPr>
      <w:r>
        <w:rPr>
          <w:rFonts w:ascii="Roboto" w:eastAsia="Roboto" w:hAnsi="Roboto" w:cs="Roboto"/>
          <w:color w:val="0D0D0D"/>
          <w:sz w:val="24"/>
          <w:szCs w:val="24"/>
        </w:rPr>
        <w:t>Når en kommune med mange børn i dagpleje beregner dette gennemsnit, resulterer det samlet i lavere gennemsnitlige driftsomkostninger pr. barn. Resultatet er, at driftstilskuddet til private vuggestuer ikke nødvendigvis afspejler de reelle omkostninger ved drift af en vuggestue, som skal opfylde de samme pasningskrav som kommunale tilbud. Dette skaber en økonomisk ubalance, hvor private vuggestuer enten må operere under strammere budgetter end kommunale tilbud eller forlange højere forældrebetaling for at dæ</w:t>
      </w:r>
      <w:r>
        <w:rPr>
          <w:rFonts w:ascii="Roboto" w:eastAsia="Roboto" w:hAnsi="Roboto" w:cs="Roboto"/>
          <w:color w:val="0D0D0D"/>
          <w:sz w:val="24"/>
          <w:szCs w:val="24"/>
        </w:rPr>
        <w:t>kke deres driftsomkostninger -</w:t>
      </w:r>
      <w:r>
        <w:rPr>
          <w:rFonts w:ascii="Roboto" w:eastAsia="Roboto" w:hAnsi="Roboto" w:cs="Roboto"/>
          <w:color w:val="0D0D0D"/>
          <w:sz w:val="24"/>
          <w:szCs w:val="24"/>
        </w:rPr>
        <w:t xml:space="preserve"> dvs. en højere forældrebetaling alene for at sikre den samme driftsøkonomiske ramme.</w:t>
      </w:r>
    </w:p>
    <w:p w14:paraId="2E51CB4B" w14:textId="491500D5" w:rsidR="008C65DE" w:rsidRPr="008C65DE"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b/>
          <w:bCs/>
          <w:color w:val="0D0D0D"/>
          <w:sz w:val="24"/>
          <w:szCs w:val="24"/>
        </w:rPr>
      </w:pPr>
      <w:r w:rsidRPr="008C65DE">
        <w:rPr>
          <w:rFonts w:ascii="Roboto" w:eastAsia="Roboto" w:hAnsi="Roboto" w:cs="Roboto"/>
          <w:b/>
          <w:bCs/>
          <w:color w:val="0D0D0D"/>
          <w:sz w:val="24"/>
          <w:szCs w:val="24"/>
        </w:rPr>
        <w:t>Vurdering</w:t>
      </w:r>
    </w:p>
    <w:p w14:paraId="00000003" w14:textId="2D9E55E4" w:rsidR="00364F3F" w:rsidRPr="008C65DE"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b/>
          <w:bCs/>
          <w:color w:val="0D0D0D"/>
          <w:sz w:val="24"/>
          <w:szCs w:val="24"/>
        </w:rPr>
      </w:pPr>
      <w:r>
        <w:rPr>
          <w:rFonts w:ascii="Roboto" w:eastAsia="Roboto" w:hAnsi="Roboto" w:cs="Roboto"/>
          <w:color w:val="0D0D0D"/>
          <w:sz w:val="24"/>
          <w:szCs w:val="24"/>
        </w:rPr>
        <w:t xml:space="preserve">Det er både driftsøkonomisk ulogisk og konkurrenceforvridende, at tilskuddet til private vuggestuer fastsættes baseret på et lavere gennemsnit, som primært er påvirket af dagplejeomkostninger. En mere logisk tilgang ville være at fastsætte tilskuddet efter </w:t>
      </w:r>
      <w:proofErr w:type="spellStart"/>
      <w:r>
        <w:rPr>
          <w:rFonts w:ascii="Roboto" w:eastAsia="Roboto" w:hAnsi="Roboto" w:cs="Roboto"/>
          <w:color w:val="0D0D0D"/>
          <w:sz w:val="24"/>
          <w:szCs w:val="24"/>
        </w:rPr>
        <w:t>pasningstilbudets</w:t>
      </w:r>
      <w:proofErr w:type="spellEnd"/>
      <w:r>
        <w:rPr>
          <w:rFonts w:ascii="Roboto" w:eastAsia="Roboto" w:hAnsi="Roboto" w:cs="Roboto"/>
          <w:color w:val="0D0D0D"/>
          <w:sz w:val="24"/>
          <w:szCs w:val="24"/>
        </w:rPr>
        <w:t xml:space="preserve"> art, og ikke alene efter aldersgruppen, præcis som det allerede er tilfældet med forældrebetalingen i de kommunale dagtilbud, hvor taksterne varierer afhængigt af, om det er vuggestue eller dagpleje, der vælges. Denne logik bør også anvendes i fastsættelsen af driftstilskuddet til private vuggestuer for at sikre ensartede konkurrencevilkår og ens vilkår inden for børnepasning. Ved at klarlægge denne problemstilling bidrager vi til en bedre forståelse af det nuværende beregningsgrundlags ko</w:t>
      </w:r>
      <w:r>
        <w:rPr>
          <w:rFonts w:ascii="Roboto" w:eastAsia="Roboto" w:hAnsi="Roboto" w:cs="Roboto"/>
          <w:color w:val="0D0D0D"/>
          <w:sz w:val="24"/>
          <w:szCs w:val="24"/>
        </w:rPr>
        <w:t>nsekvenser for valg af børnep</w:t>
      </w:r>
      <w:r w:rsidRPr="008C65DE">
        <w:rPr>
          <w:rFonts w:ascii="Roboto" w:eastAsia="Roboto" w:hAnsi="Roboto" w:cs="Roboto"/>
          <w:color w:val="0D0D0D"/>
          <w:sz w:val="24"/>
          <w:szCs w:val="24"/>
        </w:rPr>
        <w:t>asning.</w:t>
      </w:r>
    </w:p>
    <w:p w14:paraId="7F330999" w14:textId="7C83CFD1" w:rsidR="008C65DE" w:rsidRPr="008C65DE"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b/>
          <w:bCs/>
          <w:color w:val="0D0D0D"/>
          <w:sz w:val="24"/>
          <w:szCs w:val="24"/>
        </w:rPr>
      </w:pPr>
      <w:r>
        <w:rPr>
          <w:rFonts w:ascii="Roboto" w:eastAsia="Roboto" w:hAnsi="Roboto" w:cs="Roboto"/>
          <w:b/>
          <w:bCs/>
          <w:color w:val="0D0D0D"/>
          <w:sz w:val="24"/>
          <w:szCs w:val="24"/>
        </w:rPr>
        <w:t>M</w:t>
      </w:r>
      <w:r w:rsidRPr="008C65DE">
        <w:rPr>
          <w:rFonts w:ascii="Roboto" w:eastAsia="Roboto" w:hAnsi="Roboto" w:cs="Roboto"/>
          <w:b/>
          <w:bCs/>
          <w:color w:val="0D0D0D"/>
          <w:sz w:val="24"/>
          <w:szCs w:val="24"/>
        </w:rPr>
        <w:t>etode</w:t>
      </w:r>
    </w:p>
    <w:p w14:paraId="00000004" w14:textId="043BAE30" w:rsidR="00364F3F"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sz w:val="24"/>
          <w:szCs w:val="24"/>
        </w:rPr>
      </w:pPr>
      <w:r>
        <w:rPr>
          <w:rFonts w:ascii="Roboto" w:eastAsia="Roboto" w:hAnsi="Roboto" w:cs="Roboto"/>
          <w:color w:val="0D0D0D"/>
          <w:sz w:val="24"/>
          <w:szCs w:val="24"/>
        </w:rPr>
        <w:t xml:space="preserve">I forbindelse med vores undersøgelse har vi foretaget en grundig indsamling af data ved direkte at kontakte dagtilbudsadministrationen i alle landets kommuner. Vi har anmodet om oplysninger om, hvordan de har beregnet driftstilskuddet til private </w:t>
      </w:r>
      <w:r>
        <w:rPr>
          <w:rFonts w:ascii="Roboto" w:eastAsia="Roboto" w:hAnsi="Roboto" w:cs="Roboto"/>
          <w:color w:val="0D0D0D"/>
          <w:sz w:val="24"/>
          <w:szCs w:val="24"/>
        </w:rPr>
        <w:lastRenderedPageBreak/>
        <w:t>vuggestuer for årene 2023 og 2024. Dertil har vi specifikt efterspurgt, om kommunen har anvendt den frivillige bestemmelse i Dagtilbudsloven § 36 stk. 3</w:t>
      </w:r>
      <w:r>
        <w:rPr>
          <w:rFonts w:ascii="Roboto" w:eastAsia="Roboto" w:hAnsi="Roboto" w:cs="Roboto"/>
          <w:color w:val="0D0D0D"/>
          <w:sz w:val="24"/>
          <w:szCs w:val="24"/>
        </w:rPr>
        <w:t>. Denne bestemmelse giver kommunerne mulighed for at fastsætte tilskuddet baseret udelukkende på omkostningerne i kommunens egne vuggestuer, uden at indregne dagplejeomkostningerne, hvis disse ville trække tilskuddet ned.</w:t>
      </w:r>
    </w:p>
    <w:p w14:paraId="00000005" w14:textId="77777777" w:rsidR="00364F3F"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sz w:val="24"/>
          <w:szCs w:val="24"/>
        </w:rPr>
      </w:pPr>
      <w:r>
        <w:rPr>
          <w:rFonts w:ascii="Roboto" w:eastAsia="Roboto" w:hAnsi="Roboto" w:cs="Roboto"/>
          <w:color w:val="0D0D0D"/>
          <w:sz w:val="24"/>
          <w:szCs w:val="24"/>
        </w:rPr>
        <w:t>Desuden har vi bedt kommunerne om at oplyse størrelsen på de udgifter, de har til støttepædagogiske indsatser pr. barn, da de også har ret til at fratrække disse udgifter fra beregningsgrundlaget for driftstilskuddet. Dette aspekt er særligt relevant i forhold til fastsættelsen af det private tilskud og fortjener yderligere undersøgelse, da det kan have signifikante implikationer for de samlede driftsomkostninger. Vores undersøgelse har bekræftet, at der er betydelige forskelle mellem kommunerne, hvilket og</w:t>
      </w:r>
      <w:r>
        <w:rPr>
          <w:rFonts w:ascii="Roboto" w:eastAsia="Roboto" w:hAnsi="Roboto" w:cs="Roboto"/>
          <w:color w:val="0D0D0D"/>
          <w:sz w:val="24"/>
          <w:szCs w:val="24"/>
        </w:rPr>
        <w:t>så gælder for bygnings- og administrationstilskud.</w:t>
      </w:r>
    </w:p>
    <w:p w14:paraId="00000006" w14:textId="77777777" w:rsidR="00364F3F" w:rsidRDefault="008C65D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sz w:val="24"/>
          <w:szCs w:val="24"/>
        </w:rPr>
      </w:pPr>
      <w:r>
        <w:rPr>
          <w:rFonts w:ascii="Roboto" w:eastAsia="Roboto" w:hAnsi="Roboto" w:cs="Roboto"/>
          <w:color w:val="0D0D0D"/>
          <w:sz w:val="24"/>
          <w:szCs w:val="24"/>
        </w:rPr>
        <w:t>Denne omfattende dataindsamling har haft til formål at skabe et præcist og detaljeret billede af, hvordan driftstilskuddene fastsættes på tværs af kommunerne, hvilket er afgørende for at vurdere den nuværende praksis' effektivitet og retfærdighed.</w:t>
      </w:r>
    </w:p>
    <w:p w14:paraId="00000007" w14:textId="77777777" w:rsidR="00364F3F" w:rsidRDefault="008C65DE">
      <w:pPr>
        <w:rPr>
          <w:rFonts w:ascii="Roboto" w:eastAsia="Roboto" w:hAnsi="Roboto" w:cs="Roboto"/>
          <w:color w:val="0D0D0D"/>
          <w:sz w:val="24"/>
          <w:szCs w:val="24"/>
        </w:rPr>
      </w:pPr>
      <w:r>
        <w:br/>
      </w:r>
      <w:r>
        <w:rPr>
          <w:rFonts w:ascii="Roboto" w:eastAsia="Roboto" w:hAnsi="Roboto" w:cs="Roboto"/>
          <w:color w:val="0D0D0D"/>
          <w:sz w:val="24"/>
          <w:szCs w:val="24"/>
        </w:rPr>
        <w:t xml:space="preserve">Til at validere de oplysninger, kommunerne har givet os om driftstilskuddet, har vi anvendt Indenrigs- og Sundhedsministeriets kommunale nøgletal vedrørende forældrebetaling sammen med Danmarks Statistiks tal for fuldtidsomregnede børn i kommunale daginstitutioner. Ved hjælp af en retrograd kalkulation har vi kunnet verificere de kommunale data. Desuden har denne metode gjort os i stand til at isolere andelen af børn i dagpleje pr. kommune, hvilket har tilladt os at undersøge den specifikke påvirkning, som </w:t>
      </w:r>
      <w:r>
        <w:rPr>
          <w:rFonts w:ascii="Roboto" w:eastAsia="Roboto" w:hAnsi="Roboto" w:cs="Roboto"/>
          <w:color w:val="0D0D0D"/>
          <w:sz w:val="24"/>
          <w:szCs w:val="24"/>
        </w:rPr>
        <w:t>dagplejeandelen har på størrelsen af driftstilskuddet.</w:t>
      </w:r>
    </w:p>
    <w:p w14:paraId="00000009" w14:textId="77777777" w:rsidR="00364F3F" w:rsidRDefault="00364F3F"/>
    <w:sectPr w:rsidR="00364F3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BA22DC4-A836-4FA2-9C91-77A8B3F198F6}"/>
    <w:embedBold r:id="rId2" w:fontKey="{9ADF66F7-9919-41A3-AD48-D5BBDB4CB873}"/>
  </w:font>
  <w:font w:name="Calibri">
    <w:panose1 w:val="020F0502020204030204"/>
    <w:charset w:val="00"/>
    <w:family w:val="swiss"/>
    <w:pitch w:val="variable"/>
    <w:sig w:usb0="E4002EFF" w:usb1="C000247B" w:usb2="00000009" w:usb3="00000000" w:csb0="000001FF" w:csb1="00000000"/>
    <w:embedRegular r:id="rId3" w:fontKey="{A5798DCE-7794-4CA6-B133-5728588CBB54}"/>
  </w:font>
  <w:font w:name="Cambria">
    <w:panose1 w:val="02040503050406030204"/>
    <w:charset w:val="00"/>
    <w:family w:val="roman"/>
    <w:pitch w:val="variable"/>
    <w:sig w:usb0="E00006FF" w:usb1="420024FF" w:usb2="02000000" w:usb3="00000000" w:csb0="0000019F" w:csb1="00000000"/>
    <w:embedRegular r:id="rId4" w:fontKey="{41E2E9CA-E187-4867-9D84-93EADD1059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F3F"/>
    <w:rsid w:val="00364F3F"/>
    <w:rsid w:val="00670FB8"/>
    <w:rsid w:val="008C65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E2AFD"/>
  <w15:docId w15:val="{04654C1E-1F42-4042-ADE0-A50E5BAA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587</Words>
  <Characters>3584</Characters>
  <Application>Microsoft Office Word</Application>
  <DocSecurity>4</DocSecurity>
  <Lines>29</Lines>
  <Paragraphs>8</Paragraphs>
  <ScaleCrop>false</ScaleCrop>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Tanja Krabbe</cp:lastModifiedBy>
  <cp:revision>2</cp:revision>
  <dcterms:created xsi:type="dcterms:W3CDTF">2024-05-30T07:09:00Z</dcterms:created>
  <dcterms:modified xsi:type="dcterms:W3CDTF">2024-05-30T07:09:00Z</dcterms:modified>
</cp:coreProperties>
</file>